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D7" w:rsidRPr="002162D7" w:rsidRDefault="002162D7" w:rsidP="002162D7">
      <w:pPr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 xml:space="preserve">Приложение № 9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Хаапалампинского сельского поселения»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от ________________________ №________________</w:t>
      </w:r>
    </w:p>
    <w:p w:rsidR="002162D7" w:rsidRPr="002162D7" w:rsidRDefault="002162D7" w:rsidP="002162D7">
      <w:pPr>
        <w:ind w:hanging="426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F6B3AD6" wp14:editId="5837DFB5">
            <wp:extent cx="6629400" cy="4495800"/>
            <wp:effectExtent l="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D7" w:rsidRPr="002162D7" w:rsidRDefault="002162D7" w:rsidP="002162D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2162D7" w:rsidRPr="002162D7" w:rsidRDefault="002162D7" w:rsidP="002162D7">
      <w:pPr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lastRenderedPageBreak/>
        <w:t xml:space="preserve">Приложение № 10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Хаапалампинского сельского поселения»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от ________________________ №________________</w:t>
      </w: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FBD0B85" wp14:editId="021FD795">
            <wp:extent cx="6848475" cy="5200650"/>
            <wp:effectExtent l="0" t="0" r="9525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D7" w:rsidRPr="002162D7" w:rsidRDefault="002162D7" w:rsidP="002162D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2162D7" w:rsidRPr="002162D7" w:rsidRDefault="002162D7" w:rsidP="002162D7">
      <w:pPr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lastRenderedPageBreak/>
        <w:t xml:space="preserve">Приложение № 11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 xml:space="preserve">к решению Совета Сортавальского муниципального района 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«О внесении изменения в правила землепользования и застройки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Хаапалампинского сельского поселения»</w:t>
      </w:r>
    </w:p>
    <w:p w:rsidR="002162D7" w:rsidRPr="002162D7" w:rsidRDefault="002162D7" w:rsidP="002162D7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2162D7">
        <w:rPr>
          <w:rFonts w:ascii="Times New Roman" w:eastAsia="Times New Roman" w:hAnsi="Times New Roman"/>
          <w:sz w:val="24"/>
          <w:lang w:eastAsia="ar-SA"/>
        </w:rPr>
        <w:t>от ________________________ №________________</w:t>
      </w: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в правила землепользования и застройки Хаапалампинского сельского поселения (утв. решением Совета Сортавальского муниципального района от 08.08.2017 г. № 287)</w:t>
      </w: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Правила землепользования и застройки на часть территории в границах </w:t>
      </w:r>
      <w:proofErr w:type="spellStart"/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н.п</w:t>
      </w:r>
      <w:proofErr w:type="spellEnd"/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. «поселок участка № 1 совхоза «Сортавальский» (в границах земельного участка с кадастровым номером 10:07:0041001:3, а также в границах прилегающей к нему территории)</w:t>
      </w: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ind w:hanging="7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ОГЛАВЛЕНИЕ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Преамбула                                                                                                  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ЧАСТЬ 1. КАРТА ГРАДОСТРОИТЕЛЬНОГО ЗОНИРОВАНИЯ. КАРТА ЗОН С ОСОБЫМИ УСЛОВИЯМИ ИСПОЛЬЗОВАНИЯ ТЕРРИТОРИИ   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ГЛАВА 1. Карта градостроительного зонирования. Карта зон с особыми условиями использования территории.                                                                    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1. Карта градостроительного зонирования                            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2. Перечень территориальных зон, выделенных на карте градостроительного зонирования                                                                                           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3. Карта зон с особыми условиями использования территории                                       3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ЧАСТЬ 2. ГРАДОСТРОИТЕЛЬНЫЕ РЕГЛАМЕНТЫ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5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ГЛАВА 2. Градостроительные регламенты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5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4. Общие положения градостроительных регламентов для всех видов территориальных зон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       5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5. Градостроительные регламенты. Жилые зоны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10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6. ЖИ. Зона застройки индивидуальными и блокированными жилыми домами (существующая)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                     10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7.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 14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8. Зона санитарной охраны источников водоснабжения и водопроводов питьевого назначения.                                                                                                                                 15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9. Водоохранная зона и Прибрежная защитная полоса водного объекта.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15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10. Охранная зона объектов электросетевого хозяйства                                          18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ГЛАВА 3. Использование земель общего пользования                                                    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11. Береговая полоса водных объектов общего пользования                          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ГЛАВА 4. Внесение изменений в Правила. Ответственность за нарушение Правил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12. Внесение изменений в Правила застройки                                                  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13. Ответственность за нарушение Правил застройки                                      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ГЛАВА 5. Порядок применения Правил. Порядок применения градостроительных регламентов                                                                                                                                19</w:t>
      </w:r>
    </w:p>
    <w:p w:rsidR="002162D7" w:rsidRPr="002162D7" w:rsidRDefault="002162D7" w:rsidP="002162D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Статья 14. Порядок применения Правил. Порядок применения градостроительных регламентов                                                                                                                                19</w:t>
      </w:r>
    </w:p>
    <w:p w:rsidR="002162D7" w:rsidRPr="002162D7" w:rsidRDefault="002162D7" w:rsidP="002162D7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162D7" w:rsidRPr="002162D7" w:rsidRDefault="002162D7" w:rsidP="002162D7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br w:type="page"/>
      </w:r>
    </w:p>
    <w:p w:rsidR="002162D7" w:rsidRPr="002162D7" w:rsidRDefault="002162D7" w:rsidP="002162D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Преамбула</w:t>
      </w:r>
    </w:p>
    <w:p w:rsidR="002162D7" w:rsidRPr="002162D7" w:rsidRDefault="002162D7" w:rsidP="002162D7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землепользования и застройки </w:t>
      </w: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на часть территории в границах н. п. «поселок участка № 1 совхоза «Сортавальский» (в границах земельного участка с кадастровым номером 10:07:0041001:3, а также в границах прилегающей к нему территории)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(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–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застройки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,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)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нормативно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-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правовым актом для данной территории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tabs>
          <w:tab w:val="left" w:pos="992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Toc25232675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ЧАСТЬ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1.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КАРТА ГРАДОСТРОИТЕЛЬНОГО ЗОНИРОВАНИЯ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.</w:t>
      </w:r>
      <w:bookmarkEnd w:id="0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КАРТА ЗОН С ОСОБЫМИ УСЛОВИЯМИ ИСПОЛЬЗОВАНИЯ ТЕРРИТОРИИ</w:t>
      </w: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Toc25232676"/>
      <w:bookmarkStart w:id="2" w:name="_Toc8655549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1.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Карта градостроительного зонирования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.</w:t>
      </w:r>
      <w:bookmarkEnd w:id="1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2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Карта зон с особыми условиями использования территории.</w:t>
      </w:r>
    </w:p>
    <w:p w:rsidR="002162D7" w:rsidRPr="002162D7" w:rsidRDefault="002162D7" w:rsidP="00216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3" w:name="_Toc25232677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1.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Карта градостроительного зонирования</w:t>
      </w:r>
      <w:bookmarkEnd w:id="3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«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Карта градостроительного зонирования </w:t>
      </w: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часть территории в границах </w:t>
      </w:r>
      <w:proofErr w:type="spellStart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н.п</w:t>
      </w:r>
      <w:proofErr w:type="spellEnd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. «поселок участка № 1 совхоза «Сортавальский» (в границах земельного участка с кадастровым номером 10:07:0041001:3, а также в границах прилегающей к нему территории)»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 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отражает проектное состояние территории населенного пункта, согласно генеральному плану Хаапалампинского сельского поселения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На карте градостроительного зонирования установлены границы территориальных зон и отображены границы зон с особыми условиями.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Границы территориальных зон установлены с учетом: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возможности сочетания в пределах одной территориальной зоны различных видов существующего и планируемого использования земельных участков;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функциональных зон и параметров их планируемого развития, определённых Генеральным планом Хаапалампинского сельского поселения, Схемой территориального планирования Сортавальского муниципального района;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сложившейся планировки территории и существующего землепользования;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- предотвращения возможности причинения вреда объектам капитального строительства, расположенным на смежных участках.  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4" w:name="_Toc25232678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2.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Перечень территориальных зон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,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выделенных на карте градостроительного зонирования</w:t>
      </w:r>
      <w:bookmarkEnd w:id="4"/>
    </w:p>
    <w:p w:rsidR="002162D7" w:rsidRPr="002162D7" w:rsidRDefault="002162D7" w:rsidP="002162D7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7851"/>
      </w:tblGrid>
      <w:tr w:rsidR="002162D7" w:rsidRPr="002162D7" w:rsidTr="002162D7">
        <w:trPr>
          <w:trHeight w:val="778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Кодовые названия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зон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территориальных зон</w:t>
            </w:r>
          </w:p>
        </w:tc>
      </w:tr>
      <w:tr w:rsidR="002162D7" w:rsidRPr="002162D7" w:rsidTr="002162D7">
        <w:trPr>
          <w:trHeight w:val="25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Жилые зоны</w:t>
            </w:r>
          </w:p>
        </w:tc>
      </w:tr>
      <w:tr w:rsidR="002162D7" w:rsidRPr="002162D7" w:rsidTr="002162D7">
        <w:trPr>
          <w:trHeight w:val="541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  <w:lang w:eastAsia="ru-RU"/>
              </w:rPr>
              <w:t>ЖИ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застройки индивидуальными и блокированными жилыми домами</w:t>
            </w:r>
          </w:p>
        </w:tc>
      </w:tr>
    </w:tbl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3.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Карта зон с особыми условиями использования территории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Зоны с ограниченным использованием территории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.</w:t>
      </w:r>
    </w:p>
    <w:p w:rsidR="002162D7" w:rsidRPr="002162D7" w:rsidRDefault="002162D7" w:rsidP="002162D7">
      <w:pPr>
        <w:spacing w:after="0" w:line="237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62D7" w:rsidRPr="002162D7" w:rsidRDefault="002162D7" w:rsidP="002162D7">
      <w:pPr>
        <w:spacing w:after="0" w:line="237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Карта зон с особыми условиями использования территории представляет собой чертеж с отображением границ его территории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,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зон существующего положения и на </w:t>
      </w:r>
    </w:p>
    <w:p w:rsidR="002162D7" w:rsidRPr="002162D7" w:rsidRDefault="002162D7" w:rsidP="002162D7">
      <w:pPr>
        <w:spacing w:after="0" w:line="237" w:lineRule="auto"/>
        <w:jc w:val="both"/>
        <w:rPr>
          <w:rFonts w:ascii="Times New Roman" w:eastAsia="Times" w:hAnsi="Times New Roman"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перспективу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: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охранные зоны объектов электросетевого хозяйства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,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водоохранные</w:t>
      </w:r>
      <w:proofErr w:type="spellEnd"/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зоны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,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прибрежно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-</w:t>
      </w:r>
      <w:r w:rsidRPr="002162D7">
        <w:rPr>
          <w:rFonts w:ascii="Times New Roman" w:eastAsia="Times New Roman" w:hAnsi="Times New Roman"/>
          <w:sz w:val="26"/>
          <w:szCs w:val="26"/>
          <w:lang w:eastAsia="ru-RU"/>
        </w:rPr>
        <w:t>защитные зоны</w:t>
      </w:r>
      <w:r w:rsidRPr="002162D7">
        <w:rPr>
          <w:rFonts w:ascii="Times New Roman" w:eastAsia="Times" w:hAnsi="Times New Roman"/>
          <w:sz w:val="26"/>
          <w:szCs w:val="26"/>
          <w:lang w:eastAsia="ru-RU"/>
        </w:rPr>
        <w:t>.</w:t>
      </w:r>
    </w:p>
    <w:p w:rsidR="002162D7" w:rsidRPr="002162D7" w:rsidRDefault="002162D7" w:rsidP="002162D7">
      <w:pPr>
        <w:spacing w:after="0" w:line="237" w:lineRule="auto"/>
        <w:ind w:firstLine="851"/>
        <w:jc w:val="both"/>
        <w:rPr>
          <w:rFonts w:ascii="Times New Roman" w:eastAsia="Times" w:hAnsi="Times New Roman"/>
          <w:sz w:val="26"/>
          <w:szCs w:val="26"/>
          <w:lang w:eastAsia="ru-RU"/>
        </w:rPr>
      </w:pPr>
    </w:p>
    <w:tbl>
      <w:tblPr>
        <w:tblStyle w:val="50"/>
        <w:tblW w:w="10206" w:type="dxa"/>
        <w:tblInd w:w="-431" w:type="dxa"/>
        <w:tblLook w:val="04A0" w:firstRow="1" w:lastRow="0" w:firstColumn="1" w:lastColumn="0" w:noHBand="0" w:noVBand="1"/>
      </w:tblPr>
      <w:tblGrid>
        <w:gridCol w:w="3451"/>
        <w:gridCol w:w="6755"/>
      </w:tblGrid>
      <w:tr w:rsidR="002162D7" w:rsidRPr="002162D7" w:rsidTr="002162D7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7" w:rsidRPr="002162D7" w:rsidRDefault="002162D7" w:rsidP="002162D7">
            <w:pPr>
              <w:spacing w:line="237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Кодовые обозначения</w:t>
            </w:r>
          </w:p>
          <w:p w:rsidR="002162D7" w:rsidRPr="002162D7" w:rsidRDefault="002162D7" w:rsidP="002162D7">
            <w:pPr>
              <w:spacing w:line="237" w:lineRule="auto"/>
              <w:jc w:val="center"/>
              <w:rPr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зон</w:t>
            </w:r>
          </w:p>
          <w:p w:rsidR="002162D7" w:rsidRPr="002162D7" w:rsidRDefault="002162D7" w:rsidP="002162D7">
            <w:pPr>
              <w:spacing w:line="237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line="237" w:lineRule="auto"/>
              <w:jc w:val="both"/>
              <w:rPr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Наименование зон</w:t>
            </w:r>
          </w:p>
        </w:tc>
      </w:tr>
      <w:tr w:rsidR="002162D7" w:rsidRPr="002162D7" w:rsidTr="002162D7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center"/>
              <w:rPr>
                <w:sz w:val="26"/>
                <w:szCs w:val="26"/>
                <w:lang w:eastAsia="ru-RU"/>
              </w:rPr>
            </w:pPr>
            <w:r w:rsidRPr="002162D7">
              <w:rPr>
                <w:b/>
                <w:bCs/>
                <w:w w:val="97"/>
                <w:sz w:val="26"/>
                <w:szCs w:val="26"/>
                <w:lang w:eastAsia="ru-RU"/>
              </w:rPr>
              <w:t>ВОЗ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2162D7">
              <w:rPr>
                <w:sz w:val="26"/>
                <w:szCs w:val="26"/>
                <w:lang w:eastAsia="ru-RU"/>
              </w:rPr>
              <w:t>Водоохранные</w:t>
            </w:r>
            <w:proofErr w:type="spellEnd"/>
            <w:r w:rsidRPr="002162D7">
              <w:rPr>
                <w:sz w:val="26"/>
                <w:szCs w:val="26"/>
                <w:lang w:eastAsia="ru-RU"/>
              </w:rPr>
              <w:t xml:space="preserve"> зоны</w:t>
            </w:r>
          </w:p>
        </w:tc>
      </w:tr>
      <w:tr w:rsidR="002162D7" w:rsidRPr="002162D7" w:rsidTr="002162D7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center"/>
              <w:rPr>
                <w:sz w:val="26"/>
                <w:szCs w:val="26"/>
                <w:lang w:eastAsia="ru-RU"/>
              </w:rPr>
            </w:pPr>
            <w:r w:rsidRPr="002162D7">
              <w:rPr>
                <w:b/>
                <w:bCs/>
                <w:w w:val="99"/>
                <w:sz w:val="26"/>
                <w:szCs w:val="26"/>
                <w:lang w:eastAsia="ru-RU"/>
              </w:rPr>
              <w:t>ПЗП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both"/>
              <w:rPr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Прибрежно-защитные полосы</w:t>
            </w:r>
          </w:p>
        </w:tc>
      </w:tr>
      <w:tr w:rsidR="002162D7" w:rsidRPr="002162D7" w:rsidTr="002162D7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2162D7">
              <w:rPr>
                <w:b/>
                <w:bCs/>
                <w:sz w:val="26"/>
                <w:szCs w:val="26"/>
                <w:lang w:eastAsia="ru-RU"/>
              </w:rPr>
              <w:t>ОЗэсп</w:t>
            </w:r>
            <w:proofErr w:type="spellEnd"/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both"/>
              <w:rPr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Охранные зоны электросетевого хозяйства (существующее положение)</w:t>
            </w:r>
          </w:p>
        </w:tc>
      </w:tr>
      <w:tr w:rsidR="002162D7" w:rsidRPr="002162D7" w:rsidTr="002162D7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2162D7">
              <w:rPr>
                <w:b/>
                <w:sz w:val="26"/>
                <w:szCs w:val="26"/>
                <w:lang w:eastAsia="ru-RU"/>
              </w:rPr>
              <w:t>ЗСО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spacing w:line="237" w:lineRule="auto"/>
              <w:jc w:val="both"/>
              <w:rPr>
                <w:sz w:val="26"/>
                <w:szCs w:val="26"/>
                <w:lang w:eastAsia="ru-RU"/>
              </w:rPr>
            </w:pPr>
            <w:r w:rsidRPr="002162D7">
              <w:rPr>
                <w:sz w:val="26"/>
                <w:szCs w:val="26"/>
                <w:lang w:eastAsia="ru-RU"/>
              </w:rPr>
              <w:t>Зона санитарной охраны поверхностного источника питьевого водоснабжения</w:t>
            </w:r>
          </w:p>
        </w:tc>
      </w:tr>
    </w:tbl>
    <w:p w:rsidR="002162D7" w:rsidRPr="002162D7" w:rsidRDefault="002162D7" w:rsidP="002162D7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2162D7" w:rsidRPr="002162D7" w:rsidRDefault="002162D7" w:rsidP="002162D7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ЧАСТЬ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2.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ГРАДОСТРОИТЕЛЬНЫЕ РЕГЛАМЕНТЫ</w:t>
      </w:r>
    </w:p>
    <w:p w:rsidR="002162D7" w:rsidRPr="002162D7" w:rsidRDefault="002162D7" w:rsidP="002162D7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5" w:name="_Toc25232680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2. Градостроительные регламенты</w:t>
      </w:r>
      <w:bookmarkEnd w:id="5"/>
    </w:p>
    <w:p w:rsidR="002162D7" w:rsidRPr="002162D7" w:rsidRDefault="002162D7" w:rsidP="002162D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" w:hAnsi="Times New Roman"/>
          <w:b/>
          <w:bCs/>
          <w:sz w:val="24"/>
          <w:szCs w:val="31"/>
          <w:lang w:eastAsia="ru-RU"/>
        </w:rPr>
      </w:pPr>
      <w:bookmarkStart w:id="6" w:name="_Toc25232681"/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Статья 4. Общие положения градостроительных регламентов для всех видов территориальных зон</w:t>
      </w:r>
      <w:bookmarkEnd w:id="6"/>
    </w:p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1. Виды разрешенного использования земельных участков и объектов капитального строительства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                № П/0412 от 10.11.2020 г. «Об утверждении классификатора видов разрешенного использования земельных участков» (далее - Классификатор). Вид использования земельных участков и объектов капитального строительства (далее - ОКС),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описания вида разрешенного использования земельного участка, установленного Классификатором, новым видом, такой вид является </w:t>
      </w:r>
      <w:proofErr w:type="gramStart"/>
      <w:r w:rsidRPr="002162D7">
        <w:rPr>
          <w:rFonts w:ascii="Times New Roman" w:eastAsia="Times" w:hAnsi="Times New Roman"/>
          <w:sz w:val="24"/>
          <w:szCs w:val="24"/>
          <w:lang w:eastAsia="ru-RU"/>
        </w:rPr>
        <w:t>Условно</w:t>
      </w:r>
      <w:proofErr w:type="gramEnd"/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 разрешенным Видом разрешенного использования для территориальной зоны, градостроительным регламентом которой разрешено размещение такого участка.</w:t>
      </w:r>
    </w:p>
    <w:p w:rsidR="002162D7" w:rsidRPr="002162D7" w:rsidRDefault="002162D7" w:rsidP="002162D7">
      <w:pPr>
        <w:tabs>
          <w:tab w:val="left" w:pos="851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2. Дополнительно к установленным градостроительными регламентами видам разрешенного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Таблицей устанавливаются основные и условно разрешенные виды разрешенного использования, вспомогательные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 и/или устанавливаются отдельно для каждой территориальной зоны</w:t>
      </w:r>
    </w:p>
    <w:p w:rsidR="002162D7" w:rsidRPr="002162D7" w:rsidRDefault="002162D7" w:rsidP="002162D7">
      <w:pPr>
        <w:tabs>
          <w:tab w:val="left" w:pos="851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 w:line="232" w:lineRule="auto"/>
        <w:jc w:val="center"/>
        <w:rPr>
          <w:rFonts w:ascii="Times New Roman" w:eastAsia="Times" w:hAnsi="Times New Roman"/>
          <w:b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b/>
          <w:bCs/>
          <w:sz w:val="24"/>
          <w:szCs w:val="24"/>
          <w:lang w:eastAsia="ru-RU"/>
        </w:rPr>
        <w:t>Виды разрешенного использования земельных участков и ОКС</w:t>
      </w:r>
    </w:p>
    <w:tbl>
      <w:tblPr>
        <w:tblpPr w:leftFromText="180" w:rightFromText="180" w:bottomFromText="160" w:vertAnchor="text" w:horzAnchor="margin" w:tblpXSpec="center" w:tblpY="210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969"/>
        <w:gridCol w:w="2965"/>
      </w:tblGrid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*Код и на-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именование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Виды разрешенного использования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Условно разрешенные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Линейные объекты транспортной инфраструктуры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(Сеть улиц и дорог)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Поселковая дорога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Главная улица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Улицы в жилой застройке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Линейные объекты инженерной инфраструктуры</w:t>
            </w:r>
          </w:p>
        </w:tc>
      </w:tr>
      <w:tr w:rsidR="002162D7" w:rsidRPr="002162D7" w:rsidTr="002162D7"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Канализационные сети с диаметром труб до 400 мм (включительно) и сооружения на них, кроме: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 выпусков и ливнеотводов;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 сливных станций;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снегоплавильных</w:t>
            </w:r>
            <w:proofErr w:type="spell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пунктов.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Сети дождевой канализации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lastRenderedPageBreak/>
              <w:t>Канализационные сети с диаметром труб свыше 400 мм и сооружения на них</w:t>
            </w: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Электрические сети напряжением до 10 </w:t>
            </w: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(в населенных пунктах) и 110 </w:t>
            </w: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Сети газораспределения;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Пункты редуцирования газа (газорегуляторные пункты и установки);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Сети </w:t>
            </w: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газопотребления</w:t>
            </w:r>
            <w:proofErr w:type="spell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Сети проводного радиовещания и оповещения и сооружения на них;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Системы электросвязи.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Наружное освещение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Сети связи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Объекты мелиорации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Мелиоративные системы и сооружения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Антенно-мачтовые сооружения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Антенны телевизионные индивидуальные и коллективные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Антенно-мачтовые сооружения (мачты, башни столбы):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 радиорелейные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 мобильной телефонной связи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до 2,2 м, включительно.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Защитные сооружения (насаждения)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Защитные насаждения;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Санитарно-защитные зоны (разрывы) от объектов капитального строительства;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Объекты обеспечения пожарной безопасности (гидранты, резервуары, противопожарные водоемы).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Объекты инженерной защиты территории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Объекты для защиты от вредного воздействия ОКС и транспорта.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Информационные и геодезические знаки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Дорожные и уличные знаки и указатели.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Указатели наименований улиц, номеров зданий (участков, квартир), 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lastRenderedPageBreak/>
              <w:t>проживающих лиц, размещенных объектов (юридических и физических лиц, в ведении которых они находятся).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Мемориальные знаки (доски).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Навигационные знаки.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Знаки, обозначающие границы зон с особыми условиями использования территории.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Геодезические знаки.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lastRenderedPageBreak/>
              <w:t>Рекламные носители (в том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числе на специальных конструкциях).</w:t>
            </w:r>
          </w:p>
        </w:tc>
      </w:tr>
      <w:tr w:rsidR="002162D7" w:rsidRPr="002162D7" w:rsidTr="002162D7">
        <w:tc>
          <w:tcPr>
            <w:tcW w:w="10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t>Прочие земельные участки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Классификатором для таких земельных участков, кроме стоянок, гаражей и </w:t>
            </w:r>
            <w:proofErr w:type="gram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мастерских для обслуживания уборочной</w:t>
            </w:r>
            <w:proofErr w:type="gram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и аварийной техники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Классификатором для таких земельных участков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11.0. Водные объекты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Все виды использования, предусмотренные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Классификатором для таких земельных участков.</w:t>
            </w:r>
          </w:p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Коды и наименования в соответствии с размещаемыми объектами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851"/>
        <w:jc w:val="both"/>
        <w:rPr>
          <w:rFonts w:ascii="Times New Roman" w:eastAsia="Times" w:hAnsi="Times New Roman"/>
          <w:i/>
          <w:iCs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i/>
          <w:iCs/>
          <w:sz w:val="24"/>
          <w:szCs w:val="24"/>
          <w:lang w:eastAsia="ru-RU"/>
        </w:rPr>
        <w:t>*Код и наименование вида разрешенного использования земельного участка согласно Классификатору.</w:t>
      </w:r>
    </w:p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426"/>
        <w:jc w:val="both"/>
        <w:rPr>
          <w:rFonts w:ascii="Times New Roman" w:eastAsia="Times" w:hAnsi="Times New Roman"/>
          <w:i/>
          <w:iCs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iCs/>
          <w:sz w:val="24"/>
          <w:szCs w:val="24"/>
          <w:lang w:eastAsia="ru-RU"/>
        </w:rPr>
        <w:t xml:space="preserve">3. 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Величины таких отступов приведены в нижеследующей Таблице:</w:t>
      </w:r>
    </w:p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426"/>
        <w:jc w:val="both"/>
        <w:rPr>
          <w:rFonts w:ascii="Times New Roman" w:eastAsia="Times" w:hAnsi="Times New Roman"/>
          <w:b/>
          <w:sz w:val="24"/>
          <w:szCs w:val="24"/>
          <w:lang w:eastAsia="ru-RU"/>
        </w:rPr>
      </w:pPr>
    </w:p>
    <w:p w:rsidR="002162D7" w:rsidRPr="002162D7" w:rsidRDefault="002162D7" w:rsidP="002162D7">
      <w:pPr>
        <w:rPr>
          <w:rFonts w:ascii="Times New Roman" w:eastAsia="Times" w:hAnsi="Times New Roman"/>
          <w:b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b/>
          <w:sz w:val="24"/>
          <w:szCs w:val="24"/>
          <w:lang w:eastAsia="ru-RU"/>
        </w:rPr>
        <w:br w:type="page"/>
      </w:r>
    </w:p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426"/>
        <w:jc w:val="both"/>
        <w:rPr>
          <w:rFonts w:ascii="Times New Roman" w:eastAsia="Times" w:hAnsi="Times New Roman"/>
          <w:b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b/>
          <w:sz w:val="24"/>
          <w:szCs w:val="24"/>
          <w:lang w:eastAsia="ru-RU"/>
        </w:rPr>
        <w:lastRenderedPageBreak/>
        <w:t>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таблице:</w:t>
      </w:r>
    </w:p>
    <w:p w:rsidR="002162D7" w:rsidRPr="002162D7" w:rsidRDefault="002162D7" w:rsidP="002162D7">
      <w:pPr>
        <w:tabs>
          <w:tab w:val="left" w:pos="1140"/>
        </w:tabs>
        <w:spacing w:after="0" w:line="232" w:lineRule="auto"/>
        <w:ind w:firstLine="851"/>
        <w:jc w:val="both"/>
        <w:rPr>
          <w:rFonts w:ascii="Times New Roman" w:eastAsia="Times" w:hAnsi="Times New Roman"/>
          <w:b/>
          <w:sz w:val="24"/>
          <w:szCs w:val="24"/>
          <w:lang w:eastAsia="ru-RU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2832"/>
        <w:gridCol w:w="2694"/>
        <w:gridCol w:w="1845"/>
      </w:tblGrid>
      <w:tr w:rsidR="002162D7" w:rsidRPr="002162D7" w:rsidTr="002162D7">
        <w:trPr>
          <w:jc w:val="center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3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Земельные участки в зависимости от назначения</w:t>
            </w:r>
          </w:p>
        </w:tc>
        <w:tc>
          <w:tcPr>
            <w:tcW w:w="5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Расстояние со стороны проезжей части (м)</w:t>
            </w:r>
          </w:p>
        </w:tc>
      </w:tr>
      <w:tr w:rsidR="002162D7" w:rsidRPr="002162D7" w:rsidTr="002162D7">
        <w:trPr>
          <w:jc w:val="center"/>
        </w:trPr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До красной линии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При отсутствии красных линий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На всей территории Поселения</w:t>
            </w:r>
          </w:p>
        </w:tc>
      </w:tr>
      <w:tr w:rsidR="002162D7" w:rsidRPr="002162D7" w:rsidTr="002162D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Жилая (индивидуальная) застройка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62D7" w:rsidRPr="002162D7" w:rsidTr="002162D7">
        <w:trPr>
          <w:trHeight w:val="703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Жилая (многоквартирная) застройка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62D7" w:rsidRPr="002162D7" w:rsidTr="002162D7">
        <w:trPr>
          <w:trHeight w:val="14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0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Блокированная жилая застройка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62D7" w:rsidRPr="002162D7" w:rsidTr="002162D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Объекты здравоохранения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Образование и просвещение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ind w:firstLine="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ind w:firstLine="17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ind w:firstLine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2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Банковская и страховая деятельность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Общественное питание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Гостиничное обслуживание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44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2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12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Ведение огородничества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0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62D7" w:rsidRPr="002162D7" w:rsidTr="002162D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Ведение садоводства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29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0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140"/>
              </w:tabs>
              <w:spacing w:after="0" w:line="232" w:lineRule="auto"/>
              <w:ind w:firstLine="37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162D7" w:rsidRPr="002162D7" w:rsidTr="002162D7">
        <w:trPr>
          <w:trHeight w:val="16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Предоставление коммунальных услуг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13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Историко</w:t>
            </w:r>
            <w:proofErr w:type="spellEnd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– культурная деятельность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12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Земельные участки (территория общего пользования)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13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center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Ритуальная </w:t>
            </w:r>
            <w:proofErr w:type="spellStart"/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деятельнсть</w:t>
            </w:r>
            <w:proofErr w:type="spellEnd"/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3162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0"/>
              </w:tabs>
              <w:spacing w:after="0" w:line="232" w:lineRule="auto"/>
              <w:ind w:firstLine="36"/>
              <w:jc w:val="both"/>
              <w:rPr>
                <w:rFonts w:ascii="Times New Roman" w:eastAsia="Times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Примечания:</w:t>
            </w:r>
          </w:p>
          <w:p w:rsidR="002162D7" w:rsidRPr="002162D7" w:rsidRDefault="002162D7" w:rsidP="002162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32" w:lineRule="auto"/>
              <w:contextualSpacing/>
              <w:jc w:val="both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- В районах индивидуальной жилой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Расстояние от границы участка должно быть не менее: до стены жилого дома – 3 м.; до хозяйственных построек – 1 м. При отсутствии централизованной канализации расстояние от туалета до стен соседнего дома необходимо принимать не менее 12 м., до источника водоснабжения (колодца) - не менее 25 м.;</w:t>
            </w:r>
          </w:p>
          <w:p w:rsidR="002162D7" w:rsidRPr="002162D7" w:rsidRDefault="002162D7" w:rsidP="002162D7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32" w:lineRule="auto"/>
              <w:ind w:firstLine="36"/>
              <w:contextualSpacing/>
              <w:jc w:val="both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 xml:space="preserve"> - Участки детских дошкольных учреждений, вновь размещаемых объектов здравоохранения не должны примыкать непосредственно к магистральным улицам;</w:t>
            </w:r>
          </w:p>
          <w:p w:rsidR="002162D7" w:rsidRPr="002162D7" w:rsidRDefault="002162D7" w:rsidP="002162D7">
            <w:pPr>
              <w:numPr>
                <w:ilvl w:val="0"/>
                <w:numId w:val="5"/>
              </w:numPr>
              <w:tabs>
                <w:tab w:val="left" w:pos="247"/>
              </w:tabs>
              <w:spacing w:after="0" w:line="232" w:lineRule="auto"/>
              <w:ind w:firstLine="36"/>
              <w:contextualSpacing/>
              <w:jc w:val="both"/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" w:hAnsi="Times New Roman"/>
                <w:bCs/>
                <w:sz w:val="24"/>
                <w:szCs w:val="24"/>
                <w:lang w:eastAsia="ru-RU"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2162D7" w:rsidRPr="002162D7" w:rsidRDefault="002162D7" w:rsidP="002162D7">
      <w:pPr>
        <w:rPr>
          <w:rFonts w:ascii="Times New Roman" w:eastAsia="Times" w:hAnsi="Times New Roman"/>
          <w:i/>
          <w:i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индивидуального жилищного строительства, ведения личного подсобного хозяйства, в части отступа от границ соседних земельных участков допускается в случаях, если ширина земельного участка для индивидуального жилищного строительства, ведения личного подсобного хозяйства по уличному фронту менее - 18 метров.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Максимальные выступы за красную линию частей зданий, строений сооружений допускаются в отношении балконов, эркеров, козырьков - не более 3 м и выше 3,5 м от уровня земли.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4. 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в качестве минимального размера земельных участков принимается наибольший из установленных минимальных размеров;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в качестве максимального размера земельных участков принимается наименьший из установленных максимальных размеров.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Дополнительно к предельным параметрам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исключительно,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2162D7" w:rsidRPr="002162D7" w:rsidRDefault="002162D7" w:rsidP="002162D7">
      <w:pPr>
        <w:tabs>
          <w:tab w:val="left" w:pos="993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- 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lastRenderedPageBreak/>
        <w:t>- 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32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</w:p>
    <w:p w:rsidR="002162D7" w:rsidRPr="002162D7" w:rsidRDefault="002162D7" w:rsidP="002162D7">
      <w:pPr>
        <w:tabs>
          <w:tab w:val="left" w:pos="851"/>
          <w:tab w:val="left" w:pos="9923"/>
        </w:tabs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7" w:name="_Toc25232682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5.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Градостроительные регламенты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Жилые зоны</w:t>
      </w:r>
      <w:bookmarkEnd w:id="7"/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Жилая зона представлена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 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зоной застройки индивидуальными и блокированными жилыми домами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tabs>
          <w:tab w:val="left" w:pos="851"/>
        </w:tabs>
        <w:spacing w:after="0" w:line="240" w:lineRule="auto"/>
        <w:ind w:firstLine="851"/>
        <w:rPr>
          <w:rFonts w:ascii="Times New Roman" w:eastAsia="Times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8" w:name="_Toc25232683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6.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ЖИ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Зона застройки индивидуальными и блокированными жилыми домами (существующая)</w:t>
      </w:r>
      <w:bookmarkEnd w:id="8"/>
    </w:p>
    <w:p w:rsidR="002162D7" w:rsidRPr="002162D7" w:rsidRDefault="002162D7" w:rsidP="002162D7">
      <w:pPr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9" w:name="_Toc25232684"/>
      <w:r w:rsidRPr="002162D7">
        <w:rPr>
          <w:rFonts w:ascii="Times New Roman" w:eastAsia="Times New Roman" w:hAnsi="Times New Roman"/>
          <w:bCs/>
          <w:sz w:val="24"/>
          <w:szCs w:val="31"/>
          <w:lang w:eastAsia="ru-RU"/>
        </w:rPr>
        <w:t>Виды разрешенного использования земельных участков и ОКС приведены как в нижеследующей Таблице, так и в статье 3 данных Правил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>:</w:t>
      </w:r>
      <w:bookmarkEnd w:id="9"/>
    </w:p>
    <w:p w:rsidR="002162D7" w:rsidRPr="002162D7" w:rsidRDefault="002162D7" w:rsidP="002162D7">
      <w:pPr>
        <w:ind w:firstLine="993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Виды разрешенного использования земельных участков и ОКС</w:t>
      </w:r>
    </w:p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827"/>
      </w:tblGrid>
      <w:tr w:rsidR="002162D7" w:rsidRPr="002162D7" w:rsidTr="002162D7"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ЖИ. Зона застройки индивидуальными и блокированными жилыми домами (существующая)</w:t>
            </w:r>
          </w:p>
        </w:tc>
      </w:tr>
      <w:tr w:rsidR="002162D7" w:rsidRPr="002162D7" w:rsidTr="002162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Вспомогательные виды использования</w:t>
            </w:r>
          </w:p>
        </w:tc>
      </w:tr>
      <w:tr w:rsidR="002162D7" w:rsidRPr="002162D7" w:rsidTr="002162D7">
        <w:trPr>
          <w:trHeight w:val="5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наземные открытые стоянки автотранспорта;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детские и спортивные площадки, площадки для отдыха;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зелёные насаждения (парки, скверы, бульвары);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пожарные водоемы;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хозяйственные площадки;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малые архитектурные формы, элементы благоустройства, скульптурные композиции;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объекты транспортной и инженерной инфраструктуры.</w:t>
            </w:r>
          </w:p>
        </w:tc>
      </w:tr>
      <w:tr w:rsidR="002162D7" w:rsidRPr="002162D7" w:rsidTr="002162D7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97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(приусадебный земельный участок)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5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5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3.4.1. Амбулаторно-поликлиническое обслуживание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5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 Банковская и страховая деятельность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1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ind w:hanging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 Общественное питание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 Гостиничное обслуживание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3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4.4. Магазины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2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rPr>
          <w:trHeight w:val="4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62D7" w:rsidRPr="002162D7" w:rsidTr="002162D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62D7" w:rsidRPr="002162D7" w:rsidRDefault="002162D7" w:rsidP="002162D7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Предельные параметры использования земельных участков</w:t>
      </w:r>
    </w:p>
    <w:p w:rsidR="002162D7" w:rsidRPr="002162D7" w:rsidRDefault="002162D7" w:rsidP="002162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2835"/>
        <w:gridCol w:w="1844"/>
      </w:tblGrid>
      <w:tr w:rsidR="002162D7" w:rsidRPr="002162D7" w:rsidTr="002162D7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ЖИ. Зона застройки индивидуальными и блокированными жилыми домами (существующая)</w:t>
            </w:r>
          </w:p>
        </w:tc>
      </w:tr>
      <w:tr w:rsidR="002162D7" w:rsidRPr="002162D7" w:rsidTr="002162D7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Предельные (минимальные и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(или) максимальные) размеры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2162D7" w:rsidRPr="002162D7" w:rsidTr="002162D7"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4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Максимальный процент застройки, %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коды и наименования (Улицы и дороги местного значения)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0,04 до 0,25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0,10 до 0,24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62D7" w:rsidRPr="002162D7" w:rsidTr="002162D7">
        <w:trPr>
          <w:trHeight w:val="4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Для ведения личного подсобного хозяйства (приусадебный земельный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0,06 до 0,50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0,015 до 0,10 га на один блокированный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2162D7" w:rsidRPr="002162D7" w:rsidTr="002162D7">
        <w:trPr>
          <w:trHeight w:val="5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2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numPr>
                <w:ilvl w:val="2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Амбулаторно-поликлиническое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0,06 до 0,15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D7" w:rsidRPr="002162D7" w:rsidRDefault="002162D7" w:rsidP="002162D7">
            <w:pPr>
              <w:ind w:hanging="6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0,1 до 4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Магазины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от 0,03 до 1,5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 Спорт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0,06 до 25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9.0. Деятельность по особой охране и изучению природы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9.3. Историко-культурная деятельность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10.4. Резервные леса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11.1. Общее пользование водными объектами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12.0. Земельные участки (территории) общего пользования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распространяется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12.1. Ритуальная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от 0,1 до 50,0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12.3. Запас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Градостроительный регламент не устанавливается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0,01 до 0,15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0,04 до 0,15 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Предельные параметры использования ОКС</w:t>
      </w: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48"/>
        <w:gridCol w:w="4566"/>
      </w:tblGrid>
      <w:tr w:rsidR="002162D7" w:rsidRPr="002162D7" w:rsidTr="002162D7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Arial" w:hAnsi="Times New Roman"/>
                <w:b/>
                <w:bCs/>
                <w:sz w:val="24"/>
                <w:szCs w:val="24"/>
                <w:lang w:eastAsia="ru-RU"/>
              </w:rPr>
              <w:t>ЖИ. Зона застройки индивидуальными и блокированными жилыми домами (существующая)</w:t>
            </w:r>
          </w:p>
        </w:tc>
      </w:tr>
      <w:tr w:rsidR="002162D7" w:rsidRPr="002162D7" w:rsidTr="002162D7">
        <w:trPr>
          <w:trHeight w:val="56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ОКС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*Код и наименование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Максимальная этажность/высота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Улицы и дороги местного 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коды и наименования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ОКС, для которых не указано иное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/ 22 м.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Для индивидуального жилищного строительства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2162D7" w:rsidRPr="002162D7" w:rsidTr="002162D7">
        <w:trPr>
          <w:trHeight w:val="11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Малоэтажный многоквартирный жилой дом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2.1.1. Малоэтажная многоквартирная жилая застройка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20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23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жилой дом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Для ведения личного подсобного хозяйства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(приусадебный земельный участок)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Блокированный жилой дом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 Блокированная жилая застройка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Подсобные/вспомогательные сооружения (хозяйственные постройки)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 ОКС кроме стоянок, гаражей и </w:t>
            </w:r>
            <w:proofErr w:type="gram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мастерских для обслуживания уборочной</w:t>
            </w:r>
            <w:proofErr w:type="gram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аварийной техники, сооружений, необходимых для сбора и плавки снега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 Предоставление коммунальных услуг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подлежит установлению</w:t>
            </w:r>
          </w:p>
        </w:tc>
      </w:tr>
      <w:tr w:rsidR="002162D7" w:rsidRPr="002162D7" w:rsidTr="002162D7">
        <w:trPr>
          <w:trHeight w:val="24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ОКС, предназначенные для оказания </w:t>
            </w:r>
            <w:proofErr w:type="gram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гражданам  амбулаторно</w:t>
            </w:r>
            <w:proofErr w:type="gram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-поликлинической медицинской помощи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3.4.1. Амбулаторно-поликлиническое обслуживание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3.5.1. Дошкольное, начальное и среднее общее образование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4.4. Магазины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4.5. Банковская и страховая деятельность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общественного питания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4.6. Общественное питание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 xml:space="preserve">2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10 м</w:t>
            </w:r>
          </w:p>
        </w:tc>
      </w:tr>
      <w:tr w:rsidR="002162D7" w:rsidRPr="002162D7" w:rsidTr="002162D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Все виды ОКС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4.7. Гостиничное обслуживание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 xml:space="preserve">4 </w:t>
            </w:r>
            <w:proofErr w:type="spellStart"/>
            <w:proofErr w:type="gramStart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./</w:t>
            </w:r>
            <w:proofErr w:type="gramEnd"/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20 м</w:t>
            </w:r>
          </w:p>
        </w:tc>
      </w:tr>
      <w:tr w:rsidR="002162D7" w:rsidRPr="002162D7" w:rsidTr="002162D7">
        <w:trPr>
          <w:trHeight w:val="9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Некапитальное жилое строение и хозяйственные строения и сооружения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13.1. Ведение огородничества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  <w:tr w:rsidR="002162D7" w:rsidRPr="002162D7" w:rsidTr="002162D7">
        <w:trPr>
          <w:trHeight w:val="9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w w:val="99"/>
                <w:sz w:val="24"/>
                <w:szCs w:val="24"/>
                <w:lang w:eastAsia="ru-RU"/>
              </w:rPr>
              <w:t>Садовый дом/жилой дом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13.2. Ведение садоводства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15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18 м</w:t>
            </w:r>
          </w:p>
        </w:tc>
      </w:tr>
      <w:tr w:rsidR="002162D7" w:rsidRPr="002162D7" w:rsidTr="002162D7">
        <w:trPr>
          <w:trHeight w:val="9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Хозяйственные строения и сооружения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</w:t>
            </w:r>
            <w:proofErr w:type="spellEnd"/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уровня земли до: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верха плоской кровли – 4 м</w:t>
            </w:r>
          </w:p>
          <w:p w:rsidR="002162D7" w:rsidRPr="002162D7" w:rsidRDefault="002162D7" w:rsidP="002162D7">
            <w:pPr>
              <w:tabs>
                <w:tab w:val="left" w:pos="374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 конька скатной кровли – 7 м</w:t>
            </w:r>
          </w:p>
        </w:tc>
      </w:tr>
    </w:tbl>
    <w:p w:rsidR="002162D7" w:rsidRPr="002162D7" w:rsidRDefault="002162D7" w:rsidP="002162D7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sz w:val="24"/>
          <w:szCs w:val="24"/>
          <w:lang w:eastAsia="ru-RU"/>
        </w:rPr>
        <w:t>Иные требования:</w:t>
      </w:r>
    </w:p>
    <w:p w:rsidR="002162D7" w:rsidRPr="002162D7" w:rsidRDefault="002162D7" w:rsidP="002162D7">
      <w:pPr>
        <w:tabs>
          <w:tab w:val="left" w:pos="13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Требования к ограждению земельных участков: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- характер ограждения земельных участков со стороны улицы (проезда)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– 1,6 м;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- на границе с соседним земельным участком допускается устанавливать ограждение, которое должно быть сетчатым или решетчатым с целью минимального затенения территории соседнего участка и высотой не более 1,6 м;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-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образования;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- со стороны улицы (проезда) допускается установка сплошного (глухого) ограждения только при условии согласования установки такого ограждения с Администрацией муниципального образования;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>- иные ограждения, не связанные с жилищным строительством, устанавливаются в соответствии с требованиями к таким ограждениям, определенными нормами действующего законодательства;</w:t>
      </w:r>
    </w:p>
    <w:p w:rsidR="002162D7" w:rsidRPr="002162D7" w:rsidRDefault="002162D7" w:rsidP="002162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2D7">
        <w:rPr>
          <w:rFonts w:ascii="Times New Roman" w:hAnsi="Times New Roman"/>
          <w:sz w:val="24"/>
          <w:szCs w:val="24"/>
          <w:lang w:eastAsia="ru-RU"/>
        </w:rPr>
        <w:t xml:space="preserve"> В случае, если земельный участок или объект капитального строительства находится в границах зоны с особыми условиями использования территорий, на них </w:t>
      </w:r>
      <w:r w:rsidRPr="002162D7">
        <w:rPr>
          <w:rFonts w:ascii="Times New Roman" w:hAnsi="Times New Roman"/>
          <w:sz w:val="24"/>
          <w:szCs w:val="24"/>
          <w:lang w:eastAsia="ru-RU"/>
        </w:rPr>
        <w:lastRenderedPageBreak/>
        <w:t>устанавливаются ограничения использования в соответствии с законодательством Российской Федерации.</w:t>
      </w:r>
    </w:p>
    <w:p w:rsidR="002162D7" w:rsidRPr="002162D7" w:rsidRDefault="002162D7" w:rsidP="002162D7">
      <w:pPr>
        <w:keepNext/>
        <w:keepLines/>
        <w:tabs>
          <w:tab w:val="left" w:pos="2694"/>
        </w:tabs>
        <w:spacing w:before="120" w:after="12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10" w:name="_Toc25232685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>Статья 7.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bookmarkEnd w:id="10"/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муниципального образования установлены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Для объектов производственных комплексов,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предприятий, производств и объектов устанавливаются санитарно-защитные зоны, а для линейных объектов – санитарные разрывы.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зон с особыми условиями использования территорий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990"/>
      </w:tblGrid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зоны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2162D7" w:rsidRPr="002162D7" w:rsidTr="002162D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ind w:right="28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согласно ч. 4 ст. 1 Градостроительного кодекса РФ</w:t>
            </w:r>
          </w:p>
        </w:tc>
      </w:tr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Охранные зоны объектов электросетевого хозяйства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Постановление Правительства Российской Федерации от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</w:tr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зоны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Водный кодекс РФ от 03.06.2006 № 74-ФЗ, ст. 65</w:t>
            </w:r>
          </w:p>
        </w:tc>
      </w:tr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Зоны санитарной охраны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источников питьевого и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хозяйственно-бытового</w:t>
            </w:r>
          </w:p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СанПиН 2.1.4.1110-02 «Зоны санитарной охраны источников водоснабжения и водопроводов питьевого назначения»</w:t>
            </w:r>
          </w:p>
        </w:tc>
      </w:tr>
      <w:tr w:rsidR="002162D7" w:rsidRPr="002162D7" w:rsidTr="002162D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Иные зоны, которые оказали влияние на установление функциональных зон и планируемое размещение объектов</w:t>
            </w:r>
          </w:p>
        </w:tc>
      </w:tr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Береговые полосы водных объектов общего</w:t>
            </w:r>
            <w:r w:rsidRPr="002162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Водный кодекс РФ от 03.06.2006 № 74-ФЗ, ст. 6</w:t>
            </w:r>
          </w:p>
        </w:tc>
      </w:tr>
      <w:tr w:rsidR="002162D7" w:rsidRPr="002162D7" w:rsidTr="002162D7"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Прибрежные защитные полосы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2D7" w:rsidRPr="002162D7" w:rsidRDefault="002162D7" w:rsidP="00216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162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Водный кодекс РФ от 03.06.2006 № 74-ФЗ, ст. 65</w:t>
            </w:r>
          </w:p>
        </w:tc>
      </w:tr>
    </w:tbl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Законодательные и нормативные акты, </w:t>
      </w: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определяющие условия и регламенты использования зон с особыми условиями использования территорий: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Федеральный закон от 30.03.1999 г. № 52-Ф3 «О санитарно-эпидемиологическом благополучии населения»;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СП 42.13330.2016 «Градостроительство. Планировка и застройка городских и сельских поселений»);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Местные нормативы градостроительного проектирования Хаапалампинского сельского поселения.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1" w:name="_Toc25232686"/>
      <w:bookmarkStart w:id="12" w:name="_Toc489960156"/>
      <w:bookmarkStart w:id="13" w:name="_Toc482606984"/>
      <w:bookmarkStart w:id="14" w:name="_Toc8658106"/>
      <w:bookmarkStart w:id="15" w:name="_Toc8655560"/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Статья 8. Зона санитарной охраны источников водоснабжения и водопроводов питьевого назначения.</w:t>
      </w:r>
      <w:bookmarkEnd w:id="11"/>
      <w:bookmarkEnd w:id="12"/>
      <w:bookmarkEnd w:id="13"/>
    </w:p>
    <w:p w:rsidR="002162D7" w:rsidRPr="002162D7" w:rsidRDefault="002162D7" w:rsidP="002162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Зоны санитарной охраны (ЗСО)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Санитарная охрана водоводов обеспечивается санитарно-защитной полосой.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Регламент использования участков (частей участков), расположенных в ЗСО установлен следующими законодательным и нормативным актами: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Федеральный закон от 30.03.1999 г. № 52-Ф3 «О санитарно-эпидемиологическом благополучии населения»;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СанПиН 2.1.4.1110-02 «зоны санитарной охраны источников водоснабжения и водопроводов питьевого назначения»;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Рассматриваемая часть населенного пункта </w:t>
      </w: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«поселок участка № 1 совхоза «Сортавальский»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расположена в границах второго пояса зоны санитарной охраны поверхностного источника питьевого водоснабжения г. Сортавала, сведения о которой внесены в единый государственный реестр недвижимости в декабре 2015 года с присвоением учетного номера 10.00.2.56. и отражены на публичной кадастровой карте Росреестра (https://pkk5.rosreestr.ru) – интернет ресурс свободного доступа (возможность увидеть зону на картографическом материале появляется с подключением дополнительного слоя «зоны с особыми условиями использования территории»).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первого пояса запрещается: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- посадка высокоствольных деревьев;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 жилых и общественных зданий, проживание людей;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4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Допускаются рубки ухода за лесом и санитарные рубки леса.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загрязнение территории нечистотами, мусором, навозом, промышленными отходами и др.;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размещение складов горюче-смазочных материалов, ядохимикатов и минеральных удобрений, накопителей, </w:t>
      </w:r>
      <w:proofErr w:type="spellStart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шламохранилищ</w:t>
      </w:r>
      <w:proofErr w:type="spellEnd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других объектов, которые могут вызвать химические загрязнения источников водоснабжения;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применение удобрений и ядохимикатов;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добыча песка и гравия из водотока или водоема, а также дноуглубительные работы;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- рубка леса главного пользования и реконструкции. Допускаются только рубки ухода и санитарные рубки леса.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пределах второго пояса зоны поверхностного источника водоснабжения допускаются стирка белья, купание, туризм, водный спорт, устройство пляжей и рыбная ловля в установленных местах при обеспечении специального режима, согласованного с Федеральной службы </w:t>
      </w:r>
      <w:proofErr w:type="spellStart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Роспотребнадзора</w:t>
      </w:r>
      <w:proofErr w:type="spellEnd"/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В пределах санитарно-защитной полосы (ЗСО) водоводов должны отсутствовать источники загрязнения почвы и грунтовых вод (уборные, помойные ямы, приемники мусора и др.).</w:t>
      </w:r>
    </w:p>
    <w:p w:rsidR="002162D7" w:rsidRPr="002162D7" w:rsidRDefault="002162D7" w:rsidP="002162D7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bCs/>
          <w:sz w:val="24"/>
          <w:szCs w:val="24"/>
          <w:lang w:eastAsia="ru-RU"/>
        </w:rPr>
        <w:t>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16" w:name="_Toc25232687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lastRenderedPageBreak/>
        <w:t>Статья 9. Водоохранная зона и Прибрежная защитная полоса водного объекта.</w:t>
      </w:r>
      <w:bookmarkEnd w:id="14"/>
      <w:bookmarkEnd w:id="15"/>
      <w:bookmarkEnd w:id="16"/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Водоохранными</w:t>
      </w:r>
      <w:proofErr w:type="spellEnd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,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засорения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,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заиления указанных водных объектов и истощения их вод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,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сохранения среды обитания водных биологических ресурсов и других объектов животного растительного мира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актами: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Водный кодекс Российской Федерации;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30.03.1999 г. № 52-Ф3 «О санитарно-эпидемиологическом благополучии населения»;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10.01.2002 г. № 7-ФЗ «Об охране окружающей среды».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Ширина водоохранной зоны рек или ручьев устанавливается от их истока для рек или ручьев протяженностью: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1) до десяти километров - в размере пятидесяти метров;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2) от десяти до пятидесяти километров - в размере ста метров;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3) от пятидесяти километров и более - в размере двухсот метров.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двухсот метров независимо от уклона прилегающих земель.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Местами нереста, нагула, зимовки рыб и других водных биологических ресурсов («водные биологические ресурсы» - рыбы, водные беспозвоночные, водные млекопитающие, водоросли, другие водные животные и растения, находящиеся в состоянии естественной свободы – Федеральный закон от 20.12.2004 № 166-ФЗ «О рыболовстве и сохранении водных биологических ресурсов», пп.1 п.1 ст. 1) и соответственно имеющими особо ценное рыбохозяйственное значение являются все реки, озера и водохранилища на территории Республики Карелия (в том числе – Сортавальского муниципального района). Соответственно, ширина водоохранной зоны и прибрежной защитной полосы озера </w:t>
      </w:r>
      <w:proofErr w:type="spellStart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Кармаланьярви</w:t>
      </w:r>
      <w:proofErr w:type="spellEnd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             200 м.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границах водоохранных зон запрещаются: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использование сточных вод в целях регулирования плодородия почв;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2162D7" w:rsidRPr="002162D7" w:rsidRDefault="002162D7" w:rsidP="002162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агрохимикатов</w:t>
      </w:r>
      <w:proofErr w:type="spellEnd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агрохимикатов</w:t>
      </w:r>
      <w:proofErr w:type="spellEnd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7) сброс сточных, в том числе дренажных, вод;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границах прибрежных защитных полос наряду с вышеперечисленными ограничениями запрещаются: 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распашка земель; 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размещение отвалов размываемых грунтов;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выпас сельскохозяйственных животных и организация для них летних лагерей, ванн. 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централизованные системы водоотведения (канализации), централизованные ливневые системы водоотведения;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Установление водоохранных зон не влечет за собой изъятие земельных участков у собственников земель, землевладельцев, землепользователей или запрет на совершение сделок с земельными участками, за исключением случаев, предусмотренных законом. Однако собственники земель, землевладельцы и землепользователи, на землях которых находятся </w:t>
      </w:r>
      <w:proofErr w:type="spellStart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водоохранные</w:t>
      </w:r>
      <w:proofErr w:type="spellEnd"/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 и прибрежные защитные полосы, обязаны соблюдать установленный режим их использования. Лица, виновные в нарушении режима использования территорий водоохранных зон и прибрежных защитных полос, несут ответственность на основе действующего законодательства.</w:t>
      </w:r>
    </w:p>
    <w:p w:rsidR="002162D7" w:rsidRPr="002162D7" w:rsidRDefault="002162D7" w:rsidP="002162D7">
      <w:pPr>
        <w:keepNext/>
        <w:keepLines/>
        <w:tabs>
          <w:tab w:val="left" w:pos="2560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17" w:name="_Toc25232688"/>
      <w:bookmarkStart w:id="18" w:name="_Toc8658107"/>
      <w:bookmarkStart w:id="19" w:name="_Toc8655561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>Статья 10. Охранная зона объектов электросетевого хозяйства</w:t>
      </w:r>
      <w:bookmarkEnd w:id="17"/>
      <w:bookmarkEnd w:id="18"/>
      <w:bookmarkEnd w:id="19"/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установки, размеры охранных зон линий электропередачи, а также градостроительная и хозяйственная деятельность на их территории регламентируется ГОСТ 12.1.051-90 «Охранная зона воздушных линий электропередачи и воздушных линий связи», СанПиН 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 xml:space="preserve">2.2.1/2.1.1.1200-03 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и норм градостроительного проектирования.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размещать хранилища горюче-смазочных материалов;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устраивать свалки; 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проводить взрывные работы; 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разводить огонь;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сбрасывать и сливать едкие и коррозионные вещества и горюче-смазочные материалы;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- набрасывать на провода опоры и приближать к ним посторонние предметы, а также подниматься на опоры; 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проводить работы и пребывать в охранной зоне воздушных линий электропередачи во время грозы или экстремальных погодных условиях.</w:t>
      </w:r>
    </w:p>
    <w:p w:rsidR="002162D7" w:rsidRPr="002162D7" w:rsidRDefault="002162D7" w:rsidP="002162D7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 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 и 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2162D7" w:rsidRPr="002162D7" w:rsidRDefault="002162D7" w:rsidP="002162D7">
      <w:pPr>
        <w:tabs>
          <w:tab w:val="left" w:pos="9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при любых погодных условиях водяная струя не входит в охранную зону;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- водяная струя входит в охранную зону и поднимается на высоту не более 3-х метров от земли.</w:t>
      </w:r>
    </w:p>
    <w:p w:rsidR="002162D7" w:rsidRPr="002162D7" w:rsidRDefault="002162D7" w:rsidP="002162D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0" w:name="_Toc25232689"/>
      <w:bookmarkStart w:id="21" w:name="_Toc8655562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 3. Использование земель общего пользования</w:t>
      </w:r>
      <w:bookmarkEnd w:id="20"/>
      <w:bookmarkEnd w:id="21"/>
    </w:p>
    <w:p w:rsidR="002162D7" w:rsidRPr="002162D7" w:rsidRDefault="002162D7" w:rsidP="002162D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22" w:name="_Toc25232690"/>
      <w:bookmarkStart w:id="23" w:name="_Toc8658108"/>
      <w:bookmarkStart w:id="24" w:name="_Toc8655563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>Статья 11. Береговая полоса водных объектов общего пользования</w:t>
      </w:r>
      <w:bookmarkEnd w:id="22"/>
      <w:bookmarkEnd w:id="23"/>
      <w:bookmarkEnd w:id="24"/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Береговая полоса выделяется вдоль береговой линии водных объектов общего пользования и предназначена для общего пользования. Ширина береговой полосы Ладожского озера составляет 20 метров.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Каждый гражданин вправе беспрепятственно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Запрещается приватизация земельных участков в пределах береговой полосы.</w:t>
      </w:r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5" w:name="_Toc25232692"/>
    </w:p>
    <w:p w:rsidR="002162D7" w:rsidRPr="002162D7" w:rsidRDefault="002162D7" w:rsidP="002162D7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4.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Внесение изменений в Правила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Ответственность за нарушение Правил</w:t>
      </w:r>
      <w:bookmarkEnd w:id="25"/>
    </w:p>
    <w:p w:rsidR="002162D7" w:rsidRPr="002162D7" w:rsidRDefault="002162D7" w:rsidP="002162D7">
      <w:pPr>
        <w:spacing w:after="0" w:line="240" w:lineRule="auto"/>
        <w:ind w:firstLine="9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992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26" w:name="_Toc25232693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12.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Внесение изменений в Правила застройки</w:t>
      </w:r>
      <w:bookmarkEnd w:id="26"/>
    </w:p>
    <w:p w:rsidR="002162D7" w:rsidRPr="002162D7" w:rsidRDefault="002162D7" w:rsidP="002162D7">
      <w:pPr>
        <w:spacing w:after="0" w:line="240" w:lineRule="auto"/>
        <w:ind w:firstLine="992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Внесение изменений в Правила застройки производится в соответствии со статьями 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31-33</w:t>
      </w: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РФ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spacing w:after="0" w:line="240" w:lineRule="auto"/>
        <w:ind w:firstLine="992"/>
        <w:rPr>
          <w:rFonts w:ascii="Times New Roman" w:eastAsia="Times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992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27" w:name="_Toc25232694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13.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Ответственность за нарушение Правил застройки</w:t>
      </w:r>
      <w:bookmarkEnd w:id="27"/>
    </w:p>
    <w:p w:rsidR="002162D7" w:rsidRPr="002162D7" w:rsidRDefault="002162D7" w:rsidP="002162D7">
      <w:pPr>
        <w:spacing w:after="0" w:line="240" w:lineRule="auto"/>
        <w:ind w:firstLine="99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2D7">
        <w:rPr>
          <w:rFonts w:ascii="Times New Roman" w:eastAsia="Times New Roman" w:hAnsi="Times New Roman"/>
          <w:sz w:val="24"/>
          <w:szCs w:val="24"/>
          <w:lang w:eastAsia="ru-RU"/>
        </w:rPr>
        <w:t>Ответственность за нарушение Правил наступает согласно законодательству Российской Федерации и Республики Карелия</w:t>
      </w:r>
      <w:r w:rsidRPr="002162D7">
        <w:rPr>
          <w:rFonts w:ascii="Times New Roman" w:eastAsia="Times" w:hAnsi="Times New Roman"/>
          <w:sz w:val="24"/>
          <w:szCs w:val="24"/>
          <w:lang w:eastAsia="ru-RU"/>
        </w:rPr>
        <w:t>.</w:t>
      </w:r>
    </w:p>
    <w:p w:rsidR="002162D7" w:rsidRPr="002162D7" w:rsidRDefault="002162D7" w:rsidP="002162D7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62D7" w:rsidRPr="002162D7" w:rsidRDefault="002162D7" w:rsidP="002162D7">
      <w:pPr>
        <w:spacing w:after="0" w:line="240" w:lineRule="auto"/>
        <w:ind w:firstLine="99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8" w:name="_Toc25232695"/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</w:t>
      </w:r>
      <w:r w:rsidRPr="002162D7">
        <w:rPr>
          <w:rFonts w:ascii="Times New Roman" w:eastAsia="Times" w:hAnsi="Times New Roman"/>
          <w:b/>
          <w:bCs/>
          <w:sz w:val="28"/>
          <w:szCs w:val="28"/>
          <w:lang w:eastAsia="ru-RU"/>
        </w:rPr>
        <w:t>5.</w:t>
      </w:r>
      <w:r w:rsidRPr="002162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Порядок применения Правил. Порядок применения градостроительных регламентов</w:t>
      </w:r>
      <w:bookmarkEnd w:id="28"/>
    </w:p>
    <w:p w:rsidR="002162D7" w:rsidRPr="002162D7" w:rsidRDefault="002162D7" w:rsidP="002162D7">
      <w:pPr>
        <w:spacing w:after="0" w:line="240" w:lineRule="auto"/>
        <w:ind w:firstLine="99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62D7" w:rsidRPr="002162D7" w:rsidRDefault="002162D7" w:rsidP="002162D7">
      <w:pPr>
        <w:keepNext/>
        <w:keepLines/>
        <w:tabs>
          <w:tab w:val="left" w:pos="2560"/>
        </w:tabs>
        <w:spacing w:before="120" w:after="120" w:line="240" w:lineRule="auto"/>
        <w:ind w:firstLine="992"/>
        <w:jc w:val="center"/>
        <w:outlineLvl w:val="0"/>
        <w:rPr>
          <w:rFonts w:ascii="Times New Roman" w:eastAsia="Times New Roman" w:hAnsi="Times New Roman"/>
          <w:b/>
          <w:bCs/>
          <w:sz w:val="24"/>
          <w:szCs w:val="31"/>
          <w:lang w:eastAsia="ru-RU"/>
        </w:rPr>
      </w:pPr>
      <w:bookmarkStart w:id="29" w:name="_Toc25232696"/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Статья </w:t>
      </w:r>
      <w:r w:rsidRPr="002162D7">
        <w:rPr>
          <w:rFonts w:ascii="Times New Roman" w:eastAsia="Times" w:hAnsi="Times New Roman"/>
          <w:b/>
          <w:bCs/>
          <w:sz w:val="24"/>
          <w:szCs w:val="31"/>
          <w:lang w:eastAsia="ru-RU"/>
        </w:rPr>
        <w:t>14.</w:t>
      </w:r>
      <w:r w:rsidRPr="002162D7">
        <w:rPr>
          <w:rFonts w:ascii="Times New Roman" w:eastAsia="Times New Roman" w:hAnsi="Times New Roman"/>
          <w:b/>
          <w:bCs/>
          <w:sz w:val="24"/>
          <w:szCs w:val="31"/>
          <w:lang w:eastAsia="ru-RU"/>
        </w:rPr>
        <w:t xml:space="preserve"> Порядок применения Правил. Порядок применения градостроительных регламентов</w:t>
      </w:r>
      <w:bookmarkEnd w:id="29"/>
    </w:p>
    <w:p w:rsidR="002162D7" w:rsidRPr="002162D7" w:rsidRDefault="002162D7" w:rsidP="002162D7">
      <w:pPr>
        <w:spacing w:after="0" w:line="240" w:lineRule="auto"/>
        <w:ind w:firstLine="851"/>
        <w:jc w:val="both"/>
        <w:rPr>
          <w:rFonts w:ascii="Times New Roman" w:eastAsia="Times" w:hAnsi="Times New Roman"/>
          <w:sz w:val="24"/>
          <w:szCs w:val="24"/>
          <w:lang w:eastAsia="ru-RU"/>
        </w:rPr>
      </w:pPr>
      <w:r w:rsidRPr="002162D7">
        <w:rPr>
          <w:rFonts w:ascii="Times New Roman" w:eastAsia="Times" w:hAnsi="Times New Roman"/>
          <w:sz w:val="24"/>
          <w:szCs w:val="24"/>
          <w:lang w:eastAsia="ru-RU"/>
        </w:rPr>
        <w:t>Порядок применения правил землепользования и застройки и порядок применения градостроительных регламентов применяются в соответствии с правилами землепользования и застройки п. Заозерный Хаапалампинского сельского поселения Сортавальского муниципального района Республики Карелия (утв. решением Совета Сортавальского муниципального района от 08.08.2017 г № 287</w:t>
      </w:r>
    </w:p>
    <w:p w:rsidR="002162D7" w:rsidRPr="002162D7" w:rsidRDefault="002162D7" w:rsidP="002162D7">
      <w:pPr>
        <w:rPr>
          <w:rFonts w:ascii="Times New Roman" w:eastAsia="Times" w:hAnsi="Times New Roman"/>
          <w:sz w:val="24"/>
          <w:szCs w:val="24"/>
          <w:lang w:eastAsia="ru-RU"/>
        </w:rPr>
      </w:pPr>
      <w:bookmarkStart w:id="30" w:name="_GoBack"/>
      <w:bookmarkEnd w:id="30"/>
    </w:p>
    <w:sectPr w:rsidR="002162D7" w:rsidRPr="0021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316E5"/>
    <w:multiLevelType w:val="multilevel"/>
    <w:tmpl w:val="F8A0D17C"/>
    <w:lvl w:ilvl="0">
      <w:start w:val="1"/>
      <w:numFmt w:val="decimal"/>
      <w:lvlText w:val="%1.0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" w15:restartNumberingAfterBreak="0">
    <w:nsid w:val="2C28237D"/>
    <w:multiLevelType w:val="multilevel"/>
    <w:tmpl w:val="3A5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74706A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6D1A4E3B"/>
    <w:multiLevelType w:val="multilevel"/>
    <w:tmpl w:val="FA1A5224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5"/>
    <w:rsid w:val="002162D7"/>
    <w:rsid w:val="00B20772"/>
    <w:rsid w:val="00C526FA"/>
    <w:rsid w:val="00C8597B"/>
    <w:rsid w:val="00C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523B5-2CE1-47A7-B809-ED96067D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7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162D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2D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2D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7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62D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62D7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2D7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162D7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2162D7"/>
    <w:pPr>
      <w:tabs>
        <w:tab w:val="right" w:leader="dot" w:pos="10197"/>
      </w:tabs>
      <w:spacing w:after="0" w:line="360" w:lineRule="auto"/>
      <w:jc w:val="both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2162D7"/>
    <w:pPr>
      <w:spacing w:before="120" w:after="0" w:line="240" w:lineRule="auto"/>
      <w:ind w:left="22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2162D7"/>
    <w:pPr>
      <w:spacing w:after="0" w:line="240" w:lineRule="auto"/>
      <w:ind w:left="440"/>
    </w:pPr>
    <w:rPr>
      <w:rFonts w:eastAsia="Times New Roman" w:cs="Calibri"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semiHidden/>
    <w:unhideWhenUsed/>
    <w:rsid w:val="002162D7"/>
    <w:pPr>
      <w:spacing w:after="0" w:line="240" w:lineRule="auto"/>
      <w:ind w:left="660"/>
    </w:pPr>
    <w:rPr>
      <w:rFonts w:eastAsia="Times New Roman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2162D7"/>
    <w:pPr>
      <w:spacing w:after="0" w:line="240" w:lineRule="auto"/>
      <w:ind w:left="88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2162D7"/>
    <w:pPr>
      <w:spacing w:after="0" w:line="240" w:lineRule="auto"/>
      <w:ind w:left="11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2162D7"/>
    <w:pPr>
      <w:spacing w:after="0" w:line="240" w:lineRule="auto"/>
      <w:ind w:left="132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2162D7"/>
    <w:pPr>
      <w:spacing w:after="0" w:line="240" w:lineRule="auto"/>
      <w:ind w:left="154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2162D7"/>
    <w:pPr>
      <w:spacing w:after="0" w:line="240" w:lineRule="auto"/>
      <w:ind w:left="1760"/>
    </w:pPr>
    <w:rPr>
      <w:rFonts w:eastAsia="Times New Roman" w:cs="Calibri"/>
      <w:sz w:val="20"/>
      <w:szCs w:val="20"/>
      <w:lang w:eastAsia="ru-RU"/>
    </w:rPr>
  </w:style>
  <w:style w:type="paragraph" w:styleId="a5">
    <w:name w:val="header"/>
    <w:basedOn w:val="a"/>
    <w:link w:val="12"/>
    <w:uiPriority w:val="99"/>
    <w:semiHidden/>
    <w:unhideWhenUsed/>
    <w:rsid w:val="00216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13"/>
    <w:uiPriority w:val="99"/>
    <w:semiHidden/>
    <w:rsid w:val="002162D7"/>
    <w:rPr>
      <w:rFonts w:ascii="Calibri" w:eastAsia="Calibri" w:hAnsi="Calibri" w:cs="Times New Roman"/>
    </w:rPr>
  </w:style>
  <w:style w:type="paragraph" w:styleId="a7">
    <w:name w:val="footer"/>
    <w:basedOn w:val="a"/>
    <w:link w:val="14"/>
    <w:uiPriority w:val="99"/>
    <w:semiHidden/>
    <w:unhideWhenUsed/>
    <w:rsid w:val="002162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15"/>
    <w:uiPriority w:val="99"/>
    <w:semiHidden/>
    <w:rsid w:val="002162D7"/>
    <w:rPr>
      <w:rFonts w:ascii="Calibri" w:eastAsia="Calibri" w:hAnsi="Calibri" w:cs="Times New Roman"/>
    </w:rPr>
  </w:style>
  <w:style w:type="paragraph" w:styleId="a9">
    <w:name w:val="Balloon Text"/>
    <w:basedOn w:val="a"/>
    <w:link w:val="16"/>
    <w:uiPriority w:val="99"/>
    <w:semiHidden/>
    <w:unhideWhenUsed/>
    <w:rsid w:val="002162D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17"/>
    <w:uiPriority w:val="99"/>
    <w:semiHidden/>
    <w:rsid w:val="002162D7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2162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2162D7"/>
    <w:pPr>
      <w:spacing w:line="254" w:lineRule="auto"/>
      <w:outlineLvl w:val="9"/>
    </w:pPr>
    <w:rPr>
      <w:color w:val="2E74B5" w:themeColor="accent1" w:themeShade="BF"/>
    </w:rPr>
  </w:style>
  <w:style w:type="paragraph" w:customStyle="1" w:styleId="110">
    <w:name w:val="Заголовок 11"/>
    <w:basedOn w:val="a"/>
    <w:next w:val="a"/>
    <w:uiPriority w:val="9"/>
    <w:qFormat/>
    <w:rsid w:val="002162D7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F5496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2162D7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paragraph" w:customStyle="1" w:styleId="310">
    <w:name w:val="Заголовок 31"/>
    <w:basedOn w:val="a"/>
    <w:next w:val="a"/>
    <w:uiPriority w:val="9"/>
    <w:semiHidden/>
    <w:qFormat/>
    <w:rsid w:val="002162D7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  <w:lang w:eastAsia="ru-RU"/>
    </w:rPr>
  </w:style>
  <w:style w:type="paragraph" w:customStyle="1" w:styleId="18">
    <w:name w:val="Абзац списка1"/>
    <w:basedOn w:val="a"/>
    <w:next w:val="ab"/>
    <w:uiPriority w:val="34"/>
    <w:qFormat/>
    <w:rsid w:val="002162D7"/>
    <w:pPr>
      <w:spacing w:after="0" w:line="240" w:lineRule="auto"/>
      <w:ind w:left="720"/>
      <w:contextualSpacing/>
    </w:pPr>
    <w:rPr>
      <w:rFonts w:ascii="Times New Roman" w:eastAsia="Times New Roman" w:hAnsi="Times New Roman"/>
      <w:lang w:eastAsia="ru-RU"/>
    </w:rPr>
  </w:style>
  <w:style w:type="paragraph" w:customStyle="1" w:styleId="ad">
    <w:name w:val="заголовки"/>
    <w:basedOn w:val="a"/>
    <w:next w:val="a"/>
    <w:qFormat/>
    <w:rsid w:val="002162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qFormat/>
    <w:rsid w:val="002162D7"/>
  </w:style>
  <w:style w:type="paragraph" w:customStyle="1" w:styleId="111">
    <w:name w:val="Оглавление 11"/>
    <w:basedOn w:val="a"/>
    <w:next w:val="a"/>
    <w:autoRedefine/>
    <w:uiPriority w:val="39"/>
    <w:rsid w:val="002162D7"/>
    <w:pPr>
      <w:tabs>
        <w:tab w:val="right" w:leader="dot" w:pos="10197"/>
      </w:tabs>
      <w:spacing w:after="0" w:line="360" w:lineRule="auto"/>
      <w:jc w:val="both"/>
    </w:pPr>
    <w:rPr>
      <w:rFonts w:eastAsia="Times New Roman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"/>
    <w:next w:val="a"/>
    <w:autoRedefine/>
    <w:uiPriority w:val="39"/>
    <w:rsid w:val="002162D7"/>
    <w:pPr>
      <w:spacing w:before="120" w:after="0" w:line="240" w:lineRule="auto"/>
      <w:ind w:left="220"/>
    </w:pPr>
    <w:rPr>
      <w:rFonts w:eastAsia="Times New Roman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"/>
    <w:next w:val="a"/>
    <w:autoRedefine/>
    <w:uiPriority w:val="39"/>
    <w:rsid w:val="002162D7"/>
    <w:pPr>
      <w:spacing w:after="0" w:line="240" w:lineRule="auto"/>
      <w:ind w:left="440"/>
    </w:pPr>
    <w:rPr>
      <w:rFonts w:eastAsia="Times New Roman" w:cs="Calibri"/>
      <w:sz w:val="20"/>
      <w:szCs w:val="20"/>
      <w:lang w:eastAsia="ru-RU"/>
    </w:rPr>
  </w:style>
  <w:style w:type="paragraph" w:customStyle="1" w:styleId="41">
    <w:name w:val="Оглавление 41"/>
    <w:basedOn w:val="a"/>
    <w:next w:val="a"/>
    <w:autoRedefine/>
    <w:uiPriority w:val="39"/>
    <w:rsid w:val="002162D7"/>
    <w:pPr>
      <w:spacing w:after="0" w:line="240" w:lineRule="auto"/>
      <w:ind w:left="660"/>
    </w:pPr>
    <w:rPr>
      <w:rFonts w:eastAsia="Times New Roman" w:cs="Calibri"/>
      <w:sz w:val="20"/>
      <w:szCs w:val="20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rsid w:val="002162D7"/>
    <w:pPr>
      <w:spacing w:after="0" w:line="240" w:lineRule="auto"/>
      <w:ind w:left="880"/>
    </w:pPr>
    <w:rPr>
      <w:rFonts w:eastAsia="Times New Roman" w:cs="Calibri"/>
      <w:sz w:val="20"/>
      <w:szCs w:val="20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rsid w:val="002162D7"/>
    <w:pPr>
      <w:spacing w:after="0" w:line="240" w:lineRule="auto"/>
      <w:ind w:left="1100"/>
    </w:pPr>
    <w:rPr>
      <w:rFonts w:eastAsia="Times New Roman" w:cs="Calibri"/>
      <w:sz w:val="20"/>
      <w:szCs w:val="20"/>
      <w:lang w:eastAsia="ru-RU"/>
    </w:rPr>
  </w:style>
  <w:style w:type="paragraph" w:customStyle="1" w:styleId="71">
    <w:name w:val="Оглавление 71"/>
    <w:basedOn w:val="a"/>
    <w:next w:val="a"/>
    <w:autoRedefine/>
    <w:uiPriority w:val="39"/>
    <w:rsid w:val="002162D7"/>
    <w:pPr>
      <w:spacing w:after="0" w:line="240" w:lineRule="auto"/>
      <w:ind w:left="1320"/>
    </w:pPr>
    <w:rPr>
      <w:rFonts w:eastAsia="Times New Roman" w:cs="Calibri"/>
      <w:sz w:val="20"/>
      <w:szCs w:val="20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rsid w:val="002162D7"/>
    <w:pPr>
      <w:spacing w:after="0" w:line="240" w:lineRule="auto"/>
      <w:ind w:left="1540"/>
    </w:pPr>
    <w:rPr>
      <w:rFonts w:eastAsia="Times New Roman" w:cs="Calibri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rsid w:val="002162D7"/>
    <w:pPr>
      <w:spacing w:after="0" w:line="240" w:lineRule="auto"/>
      <w:ind w:left="1760"/>
    </w:pPr>
    <w:rPr>
      <w:rFonts w:eastAsia="Times New Roman" w:cs="Calibri"/>
      <w:sz w:val="20"/>
      <w:szCs w:val="20"/>
      <w:lang w:eastAsia="ru-RU"/>
    </w:rPr>
  </w:style>
  <w:style w:type="paragraph" w:customStyle="1" w:styleId="13">
    <w:name w:val="Верхний колонтитул1"/>
    <w:basedOn w:val="a"/>
    <w:next w:val="a5"/>
    <w:link w:val="a6"/>
    <w:uiPriority w:val="99"/>
    <w:rsid w:val="002162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7"/>
    <w:link w:val="a8"/>
    <w:uiPriority w:val="99"/>
    <w:rsid w:val="002162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Текст выноски1"/>
    <w:basedOn w:val="a"/>
    <w:next w:val="a9"/>
    <w:link w:val="aa"/>
    <w:uiPriority w:val="99"/>
    <w:semiHidden/>
    <w:rsid w:val="0021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оглавление Знак"/>
    <w:basedOn w:val="10"/>
    <w:link w:val="af"/>
    <w:locked/>
    <w:rsid w:val="002162D7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customStyle="1" w:styleId="af">
    <w:name w:val="оглавление"/>
    <w:basedOn w:val="1"/>
    <w:next w:val="a"/>
    <w:link w:val="ae"/>
    <w:qFormat/>
    <w:rsid w:val="002162D7"/>
  </w:style>
  <w:style w:type="character" w:customStyle="1" w:styleId="112">
    <w:name w:val="Заголовок 1 Знак1"/>
    <w:basedOn w:val="a0"/>
    <w:uiPriority w:val="9"/>
    <w:rsid w:val="002162D7"/>
    <w:rPr>
      <w:rFonts w:ascii="Calibri Light" w:eastAsia="Times New Roman" w:hAnsi="Calibri Light" w:cs="Times New Roman" w:hint="default"/>
      <w:color w:val="2E74B5" w:themeColor="accent1" w:themeShade="BF"/>
      <w:sz w:val="32"/>
      <w:szCs w:val="32"/>
      <w:lang w:eastAsia="ru-RU"/>
    </w:rPr>
  </w:style>
  <w:style w:type="character" w:customStyle="1" w:styleId="212">
    <w:name w:val="Заголовок 2 Знак1"/>
    <w:basedOn w:val="a0"/>
    <w:uiPriority w:val="9"/>
    <w:semiHidden/>
    <w:rsid w:val="002162D7"/>
    <w:rPr>
      <w:rFonts w:ascii="Calibri Light" w:eastAsia="Times New Roman" w:hAnsi="Calibri Light" w:cs="Times New Roman" w:hint="default"/>
      <w:color w:val="2E74B5" w:themeColor="accent1" w:themeShade="BF"/>
      <w:sz w:val="26"/>
      <w:szCs w:val="26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2162D7"/>
    <w:rPr>
      <w:rFonts w:ascii="Calibri Light" w:eastAsia="Times New Roman" w:hAnsi="Calibri Light" w:cs="Times New Roman" w:hint="default"/>
      <w:color w:val="1F4D78" w:themeColor="accent1" w:themeShade="7F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link w:val="a5"/>
    <w:uiPriority w:val="99"/>
    <w:semiHidden/>
    <w:locked/>
    <w:rsid w:val="00216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7"/>
    <w:uiPriority w:val="99"/>
    <w:semiHidden/>
    <w:locked/>
    <w:rsid w:val="002162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Текст выноски Знак1"/>
    <w:basedOn w:val="a0"/>
    <w:link w:val="a9"/>
    <w:uiPriority w:val="99"/>
    <w:semiHidden/>
    <w:locked/>
    <w:rsid w:val="002162D7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216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2162D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uiPriority w:val="39"/>
    <w:rsid w:val="00216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216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39"/>
    <w:rsid w:val="00216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uiPriority w:val="39"/>
    <w:rsid w:val="002162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uiPriority w:val="39"/>
    <w:rsid w:val="002162D7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6831</Words>
  <Characters>38942</Characters>
  <Application>Microsoft Office Word</Application>
  <DocSecurity>0</DocSecurity>
  <Lines>324</Lines>
  <Paragraphs>91</Paragraphs>
  <ScaleCrop>false</ScaleCrop>
  <Company/>
  <LinksUpToDate>false</LinksUpToDate>
  <CharactersWithSpaces>45682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WORKST044</dc:creator>
  <cp:keywords/>
  <dc:description/>
  <cp:lastModifiedBy>WORKST044</cp:lastModifiedBy>
  <cp:revision>5</cp:revision>
  <dcterms:created xsi:type="dcterms:W3CDTF">2022-06-16T13:28:00Z</dcterms:created>
  <dcterms:modified xsi:type="dcterms:W3CDTF">2022-06-16T13:39:00Z</dcterms:modified>
</cp:coreProperties>
</file>